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CC6FEC" w:rsidRPr="005C073A">
        <w:rPr>
          <w:rFonts w:ascii="Times New Roman" w:hAnsi="Times New Roman" w:cs="Times New Roman"/>
          <w:sz w:val="24"/>
          <w:szCs w:val="24"/>
        </w:rPr>
        <w:t>6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CC6FEC" w:rsidRPr="005C073A">
        <w:rPr>
          <w:rFonts w:ascii="Times New Roman" w:hAnsi="Times New Roman" w:cs="Times New Roman"/>
          <w:sz w:val="24"/>
          <w:szCs w:val="24"/>
        </w:rPr>
        <w:t>6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CC6FEC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1B" w:rsidRPr="00291811" w:rsidRDefault="001450DC" w:rsidP="002918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11" w:rsidRPr="002918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291811" w:rsidRPr="0029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F15F32" w:rsidRDefault="00F15F32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FF4BC5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модульный батарейный шкаф</w:t>
      </w:r>
      <w:bookmarkStart w:id="0" w:name="_GoBack"/>
      <w:bookmarkEnd w:id="0"/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группами батарей 40х9Ач – ШБМ1</w:t>
      </w:r>
      <w:r w:rsid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68-120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40х9Ач – ШБМ1</w:t>
      </w:r>
      <w:r w:rsid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68-160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29181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</w:t>
      </w:r>
      <w:r w:rsidR="00A425FA">
        <w:rPr>
          <w:rFonts w:ascii="Times New Roman" w:eastAsia="ArialMT" w:hAnsi="Times New Roman" w:cs="Times New Roman"/>
          <w:sz w:val="24"/>
          <w:szCs w:val="24"/>
          <w:lang w:val="en-US"/>
        </w:rPr>
        <w:t>HP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F15F32" w:rsidRDefault="00F15F32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Силовой блок </w:t>
      </w:r>
      <w:r w:rsidR="0029291B"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Delta </w:t>
      </w:r>
      <w:r w:rsidR="0029291B" w:rsidRPr="00F15F32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11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кВА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компактны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*800*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1175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</w:p>
    <w:p w:rsidR="001450DC" w:rsidRPr="00F15F32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ArialMT" w:hAnsi="Times New Roman" w:cs="Times New Roman"/>
          <w:sz w:val="24"/>
          <w:szCs w:val="24"/>
        </w:rPr>
        <w:lastRenderedPageBreak/>
        <w:t>Для увеличения КПД ИБП может быть переключен на работу в экономичном режиме(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F15F32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4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5C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5C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675A4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675A4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Возможно подключение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F15F32" w:rsidRDefault="00F15F32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VDC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полюс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7537D6" w:rsidP="0075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2х16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порт RS-232 – 2, Порт REPO – 1, Порт ЗУ — 1, а также слоты под коммуникационные карты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Pr="006B4C7F" w:rsidRDefault="00F15F32" w:rsidP="00BE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520х8</w:t>
            </w:r>
            <w:r w:rsidR="00BE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0х1175 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F15F32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2675A4"/>
    <w:rsid w:val="00291811"/>
    <w:rsid w:val="0029291B"/>
    <w:rsid w:val="002F0555"/>
    <w:rsid w:val="0034609B"/>
    <w:rsid w:val="003477F5"/>
    <w:rsid w:val="00365C96"/>
    <w:rsid w:val="00395BD8"/>
    <w:rsid w:val="0039791A"/>
    <w:rsid w:val="003F09C4"/>
    <w:rsid w:val="003F2C2C"/>
    <w:rsid w:val="00401D87"/>
    <w:rsid w:val="00421364"/>
    <w:rsid w:val="004A62D8"/>
    <w:rsid w:val="00502BFF"/>
    <w:rsid w:val="005114EE"/>
    <w:rsid w:val="005259D8"/>
    <w:rsid w:val="0058129D"/>
    <w:rsid w:val="005C073A"/>
    <w:rsid w:val="005C1610"/>
    <w:rsid w:val="006B4C7F"/>
    <w:rsid w:val="00701DAD"/>
    <w:rsid w:val="007537D6"/>
    <w:rsid w:val="007A27B5"/>
    <w:rsid w:val="007D1477"/>
    <w:rsid w:val="00811C0A"/>
    <w:rsid w:val="00870EB1"/>
    <w:rsid w:val="00875887"/>
    <w:rsid w:val="00991E33"/>
    <w:rsid w:val="00A425FA"/>
    <w:rsid w:val="00A471EB"/>
    <w:rsid w:val="00AA0E1D"/>
    <w:rsid w:val="00AC1D08"/>
    <w:rsid w:val="00B50A3D"/>
    <w:rsid w:val="00B65B7A"/>
    <w:rsid w:val="00BE5AF5"/>
    <w:rsid w:val="00C8412F"/>
    <w:rsid w:val="00CC6FEC"/>
    <w:rsid w:val="00CF7F47"/>
    <w:rsid w:val="00D1405A"/>
    <w:rsid w:val="00DE7966"/>
    <w:rsid w:val="00DF1655"/>
    <w:rsid w:val="00F049BE"/>
    <w:rsid w:val="00F15F32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8</cp:revision>
  <dcterms:created xsi:type="dcterms:W3CDTF">2015-09-14T14:22:00Z</dcterms:created>
  <dcterms:modified xsi:type="dcterms:W3CDTF">2015-09-14T15:00:00Z</dcterms:modified>
</cp:coreProperties>
</file>